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TERMO DE REFERÊNCIA</w:t>
      </w:r>
    </w:p>
    <w:p>
      <w:pPr>
        <w:pStyle w:val="10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OBJETO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both"/>
        <w:textAlignment w:val="auto"/>
        <w:outlineLvl w:val="9"/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  <w:t xml:space="preserve">Contratação de Empresa Especializada para realização de Pavimentação e Drenagem de Diversas Ruas do Município sendo as Ruas: </w:t>
      </w:r>
      <w:r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  <w:t xml:space="preserve"> Rua Arthur Schwambach; Alameda dos Ipês e Ladeira Florêncio Schulz; Rua Laura Martha Francisca Schultz; Rua Olavo Berger; Rua Rio São Luís; Rua Clemente Berger; Rua Família Behrend e Rua Alzhira Maria Holanda Boldt</w:t>
      </w:r>
      <w:r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  <w:t xml:space="preserve">, Santa Maria de Jetibá. Será pavimentada uma área de 1.245 m aproximadamente. </w:t>
      </w: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en-US" w:eastAsia="pt-BR"/>
        </w:rPr>
      </w:pPr>
      <w:r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  <w:t xml:space="preserve"> Obra realizada com </w:t>
      </w:r>
      <w:bookmarkStart w:id="0" w:name="_GoBack"/>
      <w:bookmarkEnd w:id="0"/>
      <w:r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  <w:t xml:space="preserve"> recursos próprios.</w:t>
      </w: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en-US" w:eastAsia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</w:rPr>
        <w:t>JUSTIFICATIVA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/>
        </w:rPr>
      </w:pPr>
      <w:r>
        <w:rPr>
          <w:rFonts w:hint="default" w:ascii="Arial" w:hAnsi="Arial" w:cs="Arial"/>
          <w:sz w:val="24"/>
          <w:szCs w:val="24"/>
          <w:lang w:val="pt-BR" w:eastAsia="pt-BR"/>
        </w:rPr>
        <w:t>2.1 -</w:t>
      </w:r>
      <w:r>
        <w:rPr>
          <w:rFonts w:hint="default" w:ascii="Arial" w:hAnsi="Arial" w:cs="Arial"/>
          <w:sz w:val="24"/>
          <w:szCs w:val="24"/>
          <w:lang w:val="en-US" w:eastAsia="pt-BR"/>
        </w:rPr>
        <w:t xml:space="preserve"> Esta obra tem como </w:t>
      </w:r>
      <w:r>
        <w:rPr>
          <w:rFonts w:hint="default" w:ascii="Arial" w:hAnsi="Arial" w:cs="Arial"/>
          <w:sz w:val="24"/>
          <w:szCs w:val="24"/>
          <w:lang w:val="pt-BR" w:eastAsia="pt-BR"/>
        </w:rPr>
        <w:t>objetivo</w:t>
      </w:r>
      <w:r>
        <w:rPr>
          <w:rFonts w:hint="default" w:ascii="Arial" w:hAnsi="Arial" w:cs="Arial"/>
          <w:sz w:val="24"/>
          <w:szCs w:val="24"/>
          <w:lang w:val="en-US" w:eastAsia="pt-BR"/>
        </w:rPr>
        <w:t xml:space="preserve"> implantar um sistema de drenagem para que a pavimentação não sofra com ações de intemperes, além da alta demanda de caminhões e carros que ali circulam, evitando assim o acúmulo de água e demais danos. A pavimentação na Rua contemplada é de suma importância para toda a população do bairro e transitória, visto que por elas transitam diariamente um grande número de veículos de transporte público e pessoas. O pavimento de boa qualidade diminui o custo com manutenção de veículos, diminui a possibilidade de ocorrência de acidentes, agiliza o trânsito, trazendo melhorias indiretas para o meio ambiente e qualidade de vida da população, além de facilitar a acessibilidade.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/>
        </w:rPr>
      </w:pPr>
      <w:r>
        <w:rPr>
          <w:rFonts w:hint="default" w:ascii="Arial" w:hAnsi="Arial" w:cs="Arial"/>
          <w:sz w:val="24"/>
          <w:szCs w:val="24"/>
          <w:lang w:val="pt-BR" w:eastAsia="pt-BR"/>
        </w:rPr>
        <w:t xml:space="preserve">2.2 - Esta contratação tem como premissa fornecer os elementos necessários à implantação das obras de drenagem e pavimentação </w:t>
      </w:r>
      <w:r>
        <w:rPr>
          <w:rFonts w:hint="default" w:ascii="Arial" w:hAnsi="Arial" w:cs="Arial"/>
          <w:sz w:val="24"/>
          <w:szCs w:val="24"/>
          <w:lang w:val="en-US" w:eastAsia="pt-BR"/>
        </w:rPr>
        <w:t>dos trechos abaixo</w:t>
      </w:r>
      <w:r>
        <w:rPr>
          <w:rFonts w:hint="default" w:ascii="Arial" w:hAnsi="Arial" w:cs="Arial"/>
          <w:sz w:val="24"/>
          <w:szCs w:val="24"/>
          <w:lang w:val="pt-BR" w:eastAsia="pt-BR"/>
        </w:rPr>
        <w:t>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</w:tcPr>
          <w:p>
            <w:pPr>
              <w:spacing w:after="0" w:line="360" w:lineRule="auto"/>
              <w:jc w:val="center"/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pt-B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 w:eastAsia="pt-BR"/>
              </w:rPr>
              <w:t>TRECHO</w:t>
            </w: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en-US" w:eastAsia="pt-BR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shd w:val="clear" w:color="auto" w:fill="DBEEF3" w:themeFill="accent5" w:themeFillTint="32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pt-BR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t>Rua Arthur Schwambach;</w:t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t xml:space="preserve"> Alameda dos Ipês e Ladeira Florêncio Schulz; </w:t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t xml:space="preserve">Rua Laura Martha Francisca Schultz; </w:t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t xml:space="preserve">Rua Olavo Berger; </w:t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t xml:space="preserve">Rua Rio São Luís; </w:t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t xml:space="preserve">Rua Clemente Berger; </w:t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t xml:space="preserve">Rua Família Behrend; </w:t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br w:type="textWrapping"/>
            </w: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t>Rua Alzhira Maria Holanda Boldt.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shd w:val="clear" w:color="auto" w:fill="FBD4B4" w:themeFill="accent6" w:themeFillTint="66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pt-BR" w:eastAsia="zh-CN" w:bidi="ar"/>
              </w:rPr>
              <w:t>COMPRIMENTO TOTAL = 1.245,00 m</w:t>
            </w:r>
          </w:p>
        </w:tc>
      </w:tr>
    </w:tbl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b/>
          <w:sz w:val="24"/>
          <w:szCs w:val="24"/>
          <w:highlight w:val="none"/>
        </w:rPr>
        <w:t>PRAZO DE EXECUÇÃO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 xml:space="preserve">O contrato deverá ser pactuado com prazo de DUZENTOS E QUARENTA dias (240) contados a partir de sua assinatura.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A execução terá prazo de até CENTO E OITENTA dias (180) contados a partir da data da assinatura da ordem de serviço, conforme cronograma em anexo, podendo ser prorrogado, nos termos da Lei 8.666/93.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VALOR DOS SERVIÇOS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/>
        </w:rPr>
      </w:pPr>
      <w:r>
        <w:rPr>
          <w:rFonts w:hint="default" w:ascii="Arial" w:hAnsi="Arial" w:cs="Arial"/>
          <w:sz w:val="24"/>
          <w:szCs w:val="24"/>
          <w:lang w:val="pt-BR" w:eastAsia="pt-BR"/>
        </w:rPr>
        <w:t xml:space="preserve">O valor total </w:t>
      </w:r>
      <w:r>
        <w:rPr>
          <w:rFonts w:hint="default" w:ascii="Arial" w:hAnsi="Arial" w:cs="Arial"/>
          <w:sz w:val="24"/>
          <w:szCs w:val="24"/>
          <w:lang w:val="en-US" w:eastAsia="pt-BR"/>
        </w:rPr>
        <w:t xml:space="preserve">estimado </w:t>
      </w:r>
      <w:r>
        <w:rPr>
          <w:rFonts w:hint="default" w:ascii="Arial" w:hAnsi="Arial" w:cs="Arial"/>
          <w:sz w:val="24"/>
          <w:szCs w:val="24"/>
          <w:lang w:val="pt-BR" w:eastAsia="pt-BR"/>
        </w:rPr>
        <w:t xml:space="preserve">é de </w:t>
      </w:r>
      <w:r>
        <w:rPr>
          <w:rFonts w:hint="default" w:ascii="Arial" w:hAnsi="Arial" w:eastAsia="LiberationSerif-Bold" w:cs="Arial"/>
          <w:b/>
          <w:sz w:val="24"/>
          <w:szCs w:val="24"/>
          <w:lang w:val="pt-BR"/>
        </w:rPr>
        <w:t xml:space="preserve"> </w:t>
      </w:r>
      <w:r>
        <w:rPr>
          <w:rFonts w:hint="default" w:ascii="Arial" w:hAnsi="Arial" w:eastAsia="Calibri" w:cs="Arial"/>
          <w:sz w:val="24"/>
          <w:szCs w:val="24"/>
          <w:lang w:val="en-US" w:eastAsia="zh-CN" w:bidi="ar-SA"/>
        </w:rPr>
        <w:t>R$</w:t>
      </w:r>
      <w:r>
        <w:rPr>
          <w:rFonts w:hint="default" w:ascii="Arial" w:hAnsi="Arial" w:eastAsia="Calibri" w:cs="Arial"/>
          <w:sz w:val="24"/>
          <w:szCs w:val="24"/>
          <w:lang w:val="pt-BR" w:eastAsia="zh-CN" w:bidi="ar-SA"/>
        </w:rPr>
        <w:t>1.196.842,11</w:t>
      </w:r>
      <w:r>
        <w:rPr>
          <w:rFonts w:hint="default" w:ascii="Arial" w:hAnsi="Arial" w:cs="Arial"/>
          <w:sz w:val="24"/>
          <w:szCs w:val="24"/>
          <w:lang w:val="pt-BR" w:eastAsia="zh-CN" w:bidi="ar-SA"/>
        </w:rPr>
        <w:t xml:space="preserve"> (Um Milhão, Cento e Noventa e Seis Mil, Oitocentos e Quarenta e Dois reais e Onze Centavos)</w:t>
      </w:r>
      <w:r>
        <w:rPr>
          <w:rFonts w:hint="default" w:ascii="Arial" w:hAnsi="Arial" w:cs="Arial"/>
          <w:sz w:val="24"/>
          <w:szCs w:val="24"/>
          <w:lang w:val="pt-BR" w:eastAsia="pt-BR"/>
        </w:rPr>
        <w:t>, conforme indicado na Planilha Orçamentária integrante do</w:t>
      </w:r>
      <w:r>
        <w:rPr>
          <w:rFonts w:hint="default" w:ascii="Arial" w:hAnsi="Arial" w:cs="Arial"/>
          <w:sz w:val="24"/>
          <w:szCs w:val="24"/>
          <w:lang w:val="en-US" w:eastAsia="pt-BR"/>
        </w:rPr>
        <w:t xml:space="preserve"> ETP (Estudo Técnico Preliminar)</w:t>
      </w:r>
      <w:r>
        <w:rPr>
          <w:rFonts w:hint="default" w:ascii="Arial" w:hAnsi="Arial" w:cs="Arial"/>
          <w:sz w:val="24"/>
          <w:szCs w:val="24"/>
          <w:lang w:val="pt-BR" w:eastAsia="pt-BR"/>
        </w:rPr>
        <w:t>.</w:t>
      </w:r>
    </w:p>
    <w:p>
      <w:pPr>
        <w:spacing w:after="0" w:line="360" w:lineRule="auto"/>
        <w:jc w:val="both"/>
        <w:rPr>
          <w:rFonts w:ascii="Arial" w:hAnsi="Arial" w:eastAsia="Calibri" w:cs="Arial"/>
          <w:sz w:val="24"/>
          <w:szCs w:val="24"/>
          <w:lang w:val="pt-BR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highlight w:val="none"/>
        </w:rPr>
        <w:t>DA FONTE DE RECURSOS</w:t>
      </w:r>
      <w:r>
        <w:rPr>
          <w:rFonts w:ascii="Arial" w:hAnsi="Arial" w:cs="Arial"/>
          <w:b/>
          <w:sz w:val="24"/>
          <w:szCs w:val="24"/>
        </w:rPr>
        <w:t xml:space="preserve"> E DA DOTAÇÃO ORÇAMENTÁRIA</w:t>
      </w: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A fonte de recursos para a execução deste serviço são provenientes d</w:t>
      </w:r>
      <w:r>
        <w:rPr>
          <w:rFonts w:hint="default" w:ascii="Arial" w:hAnsi="Arial" w:cs="Arial"/>
          <w:sz w:val="24"/>
          <w:szCs w:val="24"/>
          <w:lang w:val="pt-BR"/>
        </w:rPr>
        <w:t>e recursos Próprios.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 xml:space="preserve"> 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color w:val="auto"/>
          <w:sz w:val="24"/>
          <w:szCs w:val="24"/>
          <w:highlight w:val="none"/>
          <w:lang w:val="pt-BR"/>
        </w:rPr>
      </w:pP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>Dotação orçamentária: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013001.1545100101.001 - Mobilidade Urbana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44905100000 - Obras e Instalações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Ficha: 0000480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Fonte: 16100000000; 15300000000; 15400000000.  </w:t>
      </w: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 xml:space="preserve">                                                                                                                                                         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QUALIFICAÇÃO TÉCNICA</w:t>
      </w:r>
      <w:r>
        <w:t xml:space="preserve">: </w:t>
      </w:r>
    </w:p>
    <w:p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Registro ou inscrição da empresa no Conselho Regional de Engenharia, Arquitetura e Agronomia – CREA, com jurisdição sobre o domicílio da sede da licitante; 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Comprovante de regularidade fiscal </w:t>
      </w:r>
      <w:r>
        <w:rPr>
          <w:rFonts w:hint="default" w:ascii="Arial" w:hAnsi="Arial" w:cs="Arial"/>
          <w:sz w:val="24"/>
          <w:szCs w:val="24"/>
          <w:lang w:val="pt-BR"/>
        </w:rPr>
        <w:t xml:space="preserve">e </w:t>
      </w:r>
      <w:r>
        <w:rPr>
          <w:rFonts w:ascii="Arial" w:hAnsi="Arial" w:cs="Arial"/>
          <w:sz w:val="24"/>
          <w:szCs w:val="24"/>
        </w:rPr>
        <w:t>trabalhista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Capacitação técnico-profissional</w:t>
      </w:r>
      <w:r>
        <w:rPr>
          <w:rFonts w:ascii="Arial" w:hAnsi="Arial" w:cs="Arial"/>
          <w:sz w:val="24"/>
          <w:szCs w:val="24"/>
          <w:lang w:val="pt-BR"/>
        </w:rPr>
        <w:t>: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c.1</w:t>
      </w:r>
      <w:r>
        <w:rPr>
          <w:rFonts w:ascii="Arial" w:hAnsi="Arial" w:cs="Arial"/>
          <w:sz w:val="24"/>
          <w:szCs w:val="24"/>
        </w:rPr>
        <w:t xml:space="preserve">) Registro ou Inscrição do responsável técnico indicado no Conselho Regional de Engenharia, Agronomia e Arquitetura – CREA da região da sede da empresa ou outra entidade profissional competente do profissional de nível superior. 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c.2</w:t>
      </w:r>
      <w:r>
        <w:rPr>
          <w:rFonts w:ascii="Arial" w:hAnsi="Arial" w:cs="Arial"/>
          <w:sz w:val="24"/>
          <w:szCs w:val="24"/>
        </w:rPr>
        <w:t>) Comprovação de que o licitante possui em seu quadro, profissional devidamente reconhecido pelo CREA, de nível superior, e que seja detentor de no mínimo 1 (uma) Certidão de Acervo Técnico por execução de serviços/obras de características semelhantes deste Edital</w:t>
      </w:r>
      <w:r>
        <w:rPr>
          <w:rFonts w:hint="default" w:ascii="Arial" w:hAnsi="Arial" w:cs="Arial"/>
          <w:sz w:val="24"/>
          <w:szCs w:val="24"/>
          <w:lang w:val="pt-BR"/>
        </w:rPr>
        <w:t>, quais sejam: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c.3</w:t>
      </w:r>
      <w:r>
        <w:rPr>
          <w:rFonts w:ascii="Arial" w:hAnsi="Arial" w:cs="Arial"/>
          <w:sz w:val="24"/>
          <w:szCs w:val="24"/>
        </w:rPr>
        <w:t xml:space="preserve">) O responsável técnico indicado poderá ocupar a posição de diretor, sócio ou integrar o quadro permanente do licitante na condição de empregado ou de prestador de serviços, devendo ser comprovada sua vinculação com o licitante, até a data da apresentação dos documentos de habilitação, por meio de carteira de trabalho e previdência social (CTPS), contrato de prestação de serviços, ficha de registro de empregado ou contrato social, conforme o caso. 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</w:t>
      </w:r>
      <w:r>
        <w:rPr>
          <w:rFonts w:hint="default" w:ascii="Arial" w:hAnsi="Arial" w:cs="Arial"/>
          <w:sz w:val="24"/>
          <w:szCs w:val="24"/>
          <w:lang w:val="pt-BR"/>
        </w:rPr>
        <w:t>4</w:t>
      </w:r>
      <w:r>
        <w:rPr>
          <w:rFonts w:ascii="Arial" w:hAnsi="Arial" w:cs="Arial"/>
          <w:sz w:val="24"/>
          <w:szCs w:val="24"/>
        </w:rPr>
        <w:t>) O profissional indicado pelo licitante para fins de comprovação da capacidade técnica-profissional deverá acompanhar a execução dos serviços, admitindo-se sua substituição por profissionais de experiência equivalente ou superior, desde que aprovada pela Administração. Para essa substituição, a qualificação técnica do profissional substituto deverá atender as mesmas exigências deste Edital.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 xml:space="preserve"> </w:t>
      </w: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pt-BR"/>
        </w:rPr>
        <w:t>VISITA TÉCNICA FACULTATIVA</w:t>
      </w:r>
      <w:r>
        <w:rPr>
          <w:rFonts w:ascii="Arial" w:hAnsi="Arial" w:cs="Arial"/>
          <w:b/>
          <w:sz w:val="24"/>
          <w:szCs w:val="24"/>
        </w:rPr>
        <w:t xml:space="preserve">: 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 w:eastAsia="pt-BR" w:bidi="ar-SA"/>
        </w:rPr>
      </w:pPr>
      <w:r>
        <w:rPr>
          <w:rFonts w:ascii="Arial" w:hAnsi="Arial" w:cs="Arial"/>
          <w:sz w:val="24"/>
          <w:szCs w:val="24"/>
          <w:lang w:val="en-US" w:eastAsia="pt-BR" w:bidi="ar-SA"/>
        </w:rPr>
        <w:t xml:space="preserve">A Secretaria de Obras e Infraestruturas recomenda </w:t>
      </w:r>
      <w:r>
        <w:rPr>
          <w:rFonts w:ascii="Arial" w:hAnsi="Arial" w:cs="Arial"/>
          <w:sz w:val="24"/>
          <w:szCs w:val="24"/>
          <w:lang w:val="pt-BR" w:eastAsia="pt-BR" w:bidi="ar-SA"/>
        </w:rPr>
        <w:t>que todos os licitantes</w:t>
      </w:r>
      <w:r>
        <w:rPr>
          <w:rFonts w:ascii="Arial" w:hAnsi="Arial" w:cs="Arial"/>
          <w:sz w:val="24"/>
          <w:szCs w:val="24"/>
          <w:lang w:val="en-US" w:eastAsia="pt-BR" w:bidi="ar-SA"/>
        </w:rPr>
        <w:t xml:space="preserve"> visitem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os locais da execução dos serviços</w:t>
      </w:r>
      <w:r>
        <w:rPr>
          <w:rFonts w:ascii="Arial" w:hAnsi="Arial" w:cs="Arial"/>
          <w:sz w:val="24"/>
          <w:szCs w:val="24"/>
          <w:lang w:val="en-US" w:eastAsia="pt-BR" w:bidi="ar-SA"/>
        </w:rPr>
        <w:t xml:space="preserve"> para terem conhecimento pleno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ascii="Arial" w:hAnsi="Arial" w:cs="Arial"/>
          <w:sz w:val="24"/>
          <w:szCs w:val="24"/>
          <w:lang w:val="en-US" w:eastAsia="pt-BR" w:bidi="ar-SA"/>
        </w:rPr>
        <w:t>das obras a serem executadas e dos impactos ambientais consequentes. O objetivo da visita é que os preços ofertados pelas empresas r</w:t>
      </w:r>
      <w:r>
        <w:rPr>
          <w:rFonts w:ascii="Arial" w:hAnsi="Arial" w:cs="Arial"/>
          <w:sz w:val="24"/>
          <w:szCs w:val="24"/>
          <w:lang w:val="pt-BR" w:eastAsia="pt-BR" w:bidi="ar-SA"/>
        </w:rPr>
        <w:t>efl</w:t>
      </w:r>
      <w:r>
        <w:rPr>
          <w:rFonts w:ascii="Arial" w:hAnsi="Arial" w:cs="Arial"/>
          <w:sz w:val="24"/>
          <w:szCs w:val="24"/>
          <w:lang w:val="en-US" w:eastAsia="pt-BR" w:bidi="ar-SA"/>
        </w:rPr>
        <w:t>i</w:t>
      </w:r>
      <w:r>
        <w:rPr>
          <w:rFonts w:ascii="Arial" w:hAnsi="Arial" w:cs="Arial"/>
          <w:sz w:val="24"/>
          <w:szCs w:val="24"/>
          <w:lang w:val="pt-BR" w:eastAsia="pt-BR" w:bidi="ar-SA"/>
        </w:rPr>
        <w:t>t</w:t>
      </w:r>
      <w:r>
        <w:rPr>
          <w:rFonts w:ascii="Arial" w:hAnsi="Arial" w:cs="Arial"/>
          <w:sz w:val="24"/>
          <w:szCs w:val="24"/>
          <w:lang w:val="en-US" w:eastAsia="pt-BR" w:bidi="ar-SA"/>
        </w:rPr>
        <w:t>a</w:t>
      </w:r>
      <w:r>
        <w:rPr>
          <w:rFonts w:ascii="Arial" w:hAnsi="Arial" w:cs="Arial"/>
          <w:sz w:val="24"/>
          <w:szCs w:val="24"/>
          <w:lang w:val="pt-BR" w:eastAsia="pt-BR" w:bidi="ar-SA"/>
        </w:rPr>
        <w:t>m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,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com exatidão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,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os serviços a serem executados, evitando-se futuros pleitos de aditivos ao contrato.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  <w:r>
        <w:rPr>
          <w:rFonts w:ascii="Arial" w:hAnsi="Arial" w:cs="Arial"/>
          <w:sz w:val="24"/>
          <w:szCs w:val="24"/>
          <w:lang w:val="en-US" w:eastAsia="pt-BR" w:bidi="ar-SA"/>
        </w:rPr>
        <w:t>Caso queira visitar o local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junto dos técnicos da Prefeitura</w:t>
      </w:r>
      <w:r>
        <w:rPr>
          <w:rFonts w:ascii="Arial" w:hAnsi="Arial" w:cs="Arial"/>
          <w:sz w:val="24"/>
          <w:szCs w:val="24"/>
          <w:lang w:val="en-US" w:eastAsia="pt-BR" w:bidi="ar-SA"/>
        </w:rPr>
        <w:t>, o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licitante </w:t>
      </w:r>
      <w:r>
        <w:rPr>
          <w:rFonts w:ascii="Arial" w:hAnsi="Arial" w:cs="Arial"/>
          <w:sz w:val="24"/>
          <w:szCs w:val="24"/>
          <w:lang w:val="en-US" w:eastAsia="pt-BR" w:bidi="ar-SA"/>
        </w:rPr>
        <w:t>deve</w:t>
      </w:r>
      <w:r>
        <w:rPr>
          <w:rFonts w:ascii="Arial" w:hAnsi="Arial" w:cs="Arial"/>
          <w:sz w:val="24"/>
          <w:szCs w:val="24"/>
          <w:lang w:val="pt-BR" w:eastAsia="pt-BR" w:bidi="ar-SA"/>
        </w:rPr>
        <w:t>rá agendar junto a Secretaria de Obras no período e horários estabelecidos no Edital.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  <w:r>
        <w:rPr>
          <w:rFonts w:ascii="Arial" w:hAnsi="Arial" w:cs="Arial"/>
          <w:sz w:val="24"/>
          <w:szCs w:val="24"/>
          <w:lang w:val="pt-BR" w:eastAsia="pt-BR" w:bidi="ar-SA"/>
        </w:rPr>
        <w:t>As empresas participantes deverão apresentar uma declaração formal, sob as penas cabíveis</w:t>
      </w:r>
      <w:r>
        <w:rPr>
          <w:rFonts w:ascii="Arial" w:hAnsi="Arial" w:cs="Arial"/>
          <w:sz w:val="24"/>
          <w:szCs w:val="24"/>
          <w:lang w:val="en-US" w:eastAsia="pt-BR" w:bidi="ar-SA"/>
        </w:rPr>
        <w:t>,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de que possui pleno conhecimento das condições da execução das obras e ou serviços, bem como dispõe de instalações, pessoal especializado, maquinas e equipamentos, os quais deverão estar disponíveis nas quantidades e qualidades mínimas necessárias ao cumprimento do objetivo.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DESCRIÇÃO DOS SERVIÇOS E METO</w:t>
      </w:r>
      <w:r>
        <w:rPr>
          <w:rFonts w:hint="default" w:ascii="Arial" w:hAnsi="Arial" w:cs="Arial"/>
          <w:b/>
          <w:sz w:val="24"/>
          <w:szCs w:val="24"/>
          <w:lang w:val="pt-BR"/>
        </w:rPr>
        <w:t>DO</w:t>
      </w:r>
      <w:r>
        <w:rPr>
          <w:rFonts w:ascii="Arial" w:hAnsi="Arial" w:cs="Arial"/>
          <w:b/>
          <w:sz w:val="24"/>
          <w:szCs w:val="24"/>
        </w:rPr>
        <w:t>LOGIA DE TRABALHO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serviços serão realizados em rigorosa observância aos projetos e respectivos detalhes, bem como na estrita obediência às prescrições e exigências contidas em memorial descritivo, critérios de medição e planilhas orçamentarias. </w:t>
      </w: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jc w:val="both"/>
        <w:rPr>
          <w:rFonts w:ascii="Verdana" w:hAnsi="Verdana"/>
          <w:b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8.1</w:t>
      </w:r>
      <w:r>
        <w:rPr>
          <w:rFonts w:hint="default" w:ascii="Arial" w:hAnsi="Arial" w:cs="Arial"/>
          <w:b w:val="0"/>
          <w:bCs/>
          <w:sz w:val="24"/>
          <w:szCs w:val="24"/>
        </w:rPr>
        <w:t>– Início dos Serviços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1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.1 - Os serviços terão início na data da emissão da ORDEM DE SERVIÇO a ser emitida pela Municipalidade e recebida pelo responsável da empresa.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8.2 – Equipe Técnica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2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.1 - A equipe técnica a ser alocada para execução dos serviços deverá ser constituída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pelos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profissionais necessários à execução dos serviços constantes das PLANILHAS ORÇAMENTÁRIAS da SECOBR em numero e especialização compatíveis com a natureza dos serviços e o cronograma físico.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3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.2 - Quando não houver acatamento das determinações da fiscalização por parte dos prepostos e responsáveis da Contratada na obra, será facultado à fiscalização da SECOBR exigir a sua substituição por outro profissional,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escolhido pela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Contratada.</w:t>
      </w:r>
    </w:p>
    <w:p>
      <w:pPr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8.3 – Forma de Execução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3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.1 - Após ser dada a Ordem de Serviço à Contratada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, esta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deverá apresentar o cronograma físico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-financeiro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da obra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,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q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ue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deverá obedecer ao prazo máximo estipulado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pel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contrato e pelo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cronograma indicado no anexo deste Termo de Referência.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8.4 - A contratada deverá instalar o canteiro próximo ao local da obra.</w:t>
      </w:r>
    </w:p>
    <w:p>
      <w:pPr>
        <w:spacing w:after="0" w:line="360" w:lineRule="auto"/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5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Com relação aos itens de Segurança do Trabalho, devem ser atendidas e observadas todas as Normas Regulamentadoras, pertinentes e orientações do Ministério do Trabalho durante a vigência contratual. Os operários deverão estar com Equipamentos de Proteção Individual - EPI´s adequados aos serviços que estiverem executando e, quando necessário, Equipamentos de Proteção Coletiva – EPC.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 xml:space="preserve">8.6 -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Os serviços contratados devem ser executados rigorosamente de acordo com as especificações contidas no memorial e projetos, sendo toda a mão de obra e materiais fornecidos pela Contratada. Destaca-se que serão impugnados pela fiscalização de obra, todos os trabalhos que não satisfaçam às condições técnicas e contratuais, ficando a Contratada obrigada a demolir e a refazer os trabalhos logo após a oficialização pela fiscalização, ficando por sua conta exclusiva as despesas decorrentes dessas providências.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 xml:space="preserve">8.7 -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Os materiais a serem empregados deverão ser novos, adequados aos tipos de serviços e atenderem às especificações, projetos e planilhas inclusive as normas aplicáveis.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Também é de responsabilidade da Contratada o serviço de vigilância nos recintos de trabalho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e em especial no canteiro de obras e deposito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, cabendo-lhe toda a responsabilidade por quaisquer danos decorrentes de negligência durante a execução das obras, até a entrega definitiva.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Caso seja efetuada qualquer modificação, parcial ou total, constantes nesse Termo de Referencia, proposta pela Contratante ou pela Contratada este fato não implicará em anular ou invalidar o contrato, que prevalecerá em quaisquer circunstâncias. Potenciais alterações que incorram no surgimento de serviço novo deverá ser apresentada previamente pela Contratada e analisada pela SECOBR antes do início efetivo do serviço.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8.10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No que se refere à mobilização e desmobilização, a Contratada deve atender aos seguintes aspectos: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Tomar todas as providências relativas à mobilização após assinatura do contrato, de forma a poder dar início efetivo e concluir a obra dentro do prazo contratual e cronograma apresentado;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Transporte de todos os equipamentos e materiais, para execução dos serviços contratados, até o canteiro de obra e sua posterior retirada;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Movimentação de todo o pessoal ligado à Contratada, em qualquer tempo, até o canteiro de obras e posterior regresso a seus locais de origem;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-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No final da obra, remover todas as instalações do Canteiro de Obras, equipamentos, detritos e restos de materiais, de modo a entregar as áreas utilizadas totalmente limpa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s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.11 – Subcontratação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.11.1 - A licitante Contratada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não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poderá subcontratar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os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serviços constantes do objeto deste termo de referencia.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8.11.2 - É motivo para rescisão contratual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a subcontratação total ou parcial do seu objeto, a associação do contratado com outrem, a cessão ou transferência, total ou parcial, bem como a fusão, cisão ou incorporação, não admitidas no edital e no contrato.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ESTIMATIVA DE VALORES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.1 - </w:t>
      </w:r>
      <w:r>
        <w:rPr>
          <w:rFonts w:ascii="Arial" w:hAnsi="Arial" w:eastAsia="Calibri" w:cs="Arial"/>
          <w:sz w:val="24"/>
          <w:szCs w:val="24"/>
          <w:lang w:val="pt-BR" w:eastAsia="pt-BR" w:bidi="ar-SA"/>
        </w:rPr>
        <w:t xml:space="preserve">O valor total é de </w:t>
      </w:r>
      <w:r>
        <w:rPr>
          <w:rFonts w:hint="default" w:ascii="Arial" w:hAnsi="Arial" w:eastAsia="LiberationSerif-Bold" w:cs="Arial"/>
          <w:b/>
          <w:sz w:val="24"/>
          <w:szCs w:val="24"/>
          <w:lang w:val="pt-BR"/>
        </w:rPr>
        <w:t xml:space="preserve"> </w:t>
      </w:r>
      <w:r>
        <w:rPr>
          <w:rFonts w:hint="default" w:ascii="Arial" w:hAnsi="Arial" w:eastAsia="Calibri" w:cs="Arial"/>
          <w:sz w:val="24"/>
          <w:szCs w:val="24"/>
          <w:lang w:val="en-US" w:eastAsia="zh-CN" w:bidi="ar-SA"/>
        </w:rPr>
        <w:t>R$</w:t>
      </w:r>
      <w:r>
        <w:rPr>
          <w:rFonts w:hint="default" w:ascii="Arial" w:hAnsi="Arial" w:eastAsia="Calibri" w:cs="Arial"/>
          <w:sz w:val="24"/>
          <w:szCs w:val="24"/>
          <w:lang w:val="pt-BR" w:eastAsia="zh-CN" w:bidi="ar-SA"/>
        </w:rPr>
        <w:t>1.196.842,11</w:t>
      </w:r>
      <w:r>
        <w:rPr>
          <w:rFonts w:hint="default" w:ascii="Arial" w:hAnsi="Arial" w:cs="Arial"/>
          <w:sz w:val="24"/>
          <w:szCs w:val="24"/>
          <w:lang w:val="pt-BR" w:eastAsia="zh-CN" w:bidi="ar-SA"/>
        </w:rPr>
        <w:t xml:space="preserve"> (Um Milhão, Cento e Noventa e Seis Mil, Oitocentos e Quarenta e Dois reais e Onze Centavos)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,</w:t>
      </w:r>
      <w:r>
        <w:rPr>
          <w:rFonts w:ascii="Arial" w:hAnsi="Arial" w:eastAsia="Calibri" w:cs="Arial"/>
          <w:sz w:val="24"/>
          <w:szCs w:val="24"/>
          <w:lang w:val="pt-BR" w:eastAsia="pt-BR" w:bidi="ar-SA"/>
        </w:rPr>
        <w:t xml:space="preserve"> conforme indicado na Planilha Orçamentária integrante do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ETP (Estudo Tecnico Preliminar).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pStyle w:val="10"/>
        <w:numPr>
          <w:ilvl w:val="0"/>
          <w:numId w:val="0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.2 - Para a composição dos preços unitários, foi utilizada a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T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abela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de Preços do 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Departamento de Edificações e Rodovias do estado do Espírito Santo (DER-ES), planilha de rodovias de Novembro de 2021 e planilha de edificações de Janeiro de 2022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e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BDI de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29,63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%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4" w:leftChars="0" w:hanging="444" w:firstLineChars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PROCEDIMENTOS </w:t>
      </w:r>
      <w:r>
        <w:rPr>
          <w:rFonts w:ascii="Arial" w:hAnsi="Arial" w:cs="Arial"/>
          <w:b/>
          <w:sz w:val="24"/>
          <w:szCs w:val="24"/>
          <w:lang w:val="pt-BR"/>
        </w:rPr>
        <w:t>E CRITÉRIOS PARA REAJUSTAMENTO DO CONTRATO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Não haverá reajustamento do preço contratado. Caso o prazo contratual inicialmente fixado seja prorrogado, nas hipóteses do art. 57, da Lei 8.666/93, ultrapassando o período de vigência de 1 (um) ano, contados a partir da data limite de apresentação da proposta, poderá ser concedido reajuste ao preço contratado, mediante requerimento escrito. Entretanto, o reajustamento fica subordinado à Legislação Federal em vigor vinculado ao índice do INCC (Índice Nacional da Construção Civil).</w:t>
      </w:r>
    </w:p>
    <w:p>
      <w:pPr>
        <w:spacing w:after="0" w:line="360" w:lineRule="auto"/>
        <w:jc w:val="both"/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Dessa forma, o primeiro reajuste deve levar em conta o índice do INCC acumulado nos 12 meses, contados a partir da data de apresentação da proposta.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br w:type="textWrapping"/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Consequentemente, as parcelas do contrato pagas desde a data da apresentação das propostas da licitação até o 12º mês depois desta data-base não podem sofrer reajustes.</w:t>
      </w:r>
      <w:r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  <w:br w:type="textWrapping"/>
      </w:r>
    </w:p>
    <w:p>
      <w:pPr>
        <w:spacing w:after="0" w:line="360" w:lineRule="auto"/>
        <w:jc w:val="both"/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</w:pPr>
    </w:p>
    <w:p>
      <w:pPr>
        <w:pStyle w:val="10"/>
        <w:numPr>
          <w:ilvl w:val="0"/>
          <w:numId w:val="3"/>
        </w:numPr>
        <w:spacing w:after="0" w:line="360" w:lineRule="auto"/>
        <w:ind w:left="420" w:leftChars="0" w:hanging="420" w:firstLineChars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Critério de Reajustamento: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</w:t>
      </w:r>
    </w:p>
    <w:p>
      <w:pPr>
        <w:pStyle w:val="10"/>
        <w:spacing w:after="0" w:line="360" w:lineRule="auto"/>
        <w:ind w:left="0"/>
        <w:jc w:val="center"/>
        <w:rPr>
          <w:rFonts w:ascii="Arial" w:hAnsi="Arial" w:cs="Arial"/>
          <w:position w:val="-10"/>
          <w:sz w:val="24"/>
          <w:szCs w:val="24"/>
          <w:lang w:val="pt-BR"/>
        </w:rPr>
      </w:pPr>
      <w:r>
        <w:rPr>
          <w:rFonts w:ascii="Arial" w:hAnsi="Arial" w:cs="Arial"/>
          <w:position w:val="-10"/>
          <w:sz w:val="24"/>
          <w:szCs w:val="24"/>
          <w:lang w:val="pt-BR"/>
        </w:rPr>
        <w:object>
          <v:shape id="_x0000_i1025" o:spt="75" type="#_x0000_t75" style="height:16pt;width:4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pStyle w:val="10"/>
        <w:spacing w:after="0" w:line="360" w:lineRule="auto"/>
        <w:ind w:left="0"/>
        <w:jc w:val="center"/>
        <w:rPr>
          <w:rFonts w:ascii="Arial" w:hAnsi="Arial" w:cs="Arial"/>
          <w:position w:val="-10"/>
          <w:sz w:val="24"/>
          <w:szCs w:val="24"/>
          <w:lang w:val="pt-BR"/>
        </w:rPr>
      </w:pP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Onde: k = </w:t>
      </w:r>
      <w:r>
        <w:rPr>
          <w:rFonts w:hint="default" w:ascii="Arial" w:hAnsi="Arial" w:cs="Arial"/>
          <w:sz w:val="24"/>
          <w:szCs w:val="24"/>
          <w:lang w:val="pt-BR"/>
        </w:rPr>
        <w:t>P</w:t>
      </w:r>
      <w:r>
        <w:rPr>
          <w:rFonts w:ascii="Arial" w:hAnsi="Arial" w:cs="Arial"/>
          <w:sz w:val="24"/>
          <w:szCs w:val="24"/>
          <w:lang w:val="pt-BR"/>
        </w:rPr>
        <w:t>ercentual acumulado do índice</w:t>
      </w:r>
      <w:r>
        <w:rPr>
          <w:rFonts w:hint="default" w:ascii="Arial" w:hAnsi="Arial" w:cs="Arial"/>
          <w:sz w:val="24"/>
          <w:szCs w:val="24"/>
          <w:lang w:val="pt-BR"/>
        </w:rPr>
        <w:t xml:space="preserve"> INCC do periodo de apresentação da proposta até o mês de aniversario do reajustamento;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R = Valor da medição reajustado;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M = Medição com valores da apresentação da proposta de licitação.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leftChars="0" w:hanging="36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PROCEDIMENTOS DE FISCALIZAÇÃO</w:t>
      </w:r>
      <w:r>
        <w:rPr>
          <w:rFonts w:ascii="Arial" w:hAnsi="Arial" w:cs="Arial"/>
          <w:b/>
          <w:position w:val="-1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position w:val="-24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GERENCIAMENTO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highlight w:val="none"/>
        </w:rPr>
        <w:t xml:space="preserve">O </w:t>
      </w:r>
      <w:r>
        <w:rPr>
          <w:rFonts w:ascii="Arial" w:hAnsi="Arial" w:cs="Arial"/>
          <w:sz w:val="24"/>
          <w:szCs w:val="24"/>
          <w:highlight w:val="none"/>
          <w:lang w:val="pt-BR"/>
        </w:rPr>
        <w:t xml:space="preserve">Gerente de </w:t>
      </w:r>
      <w:r>
        <w:rPr>
          <w:rFonts w:hint="default" w:ascii="Arial" w:hAnsi="Arial" w:cs="Arial"/>
          <w:sz w:val="24"/>
          <w:szCs w:val="24"/>
          <w:highlight w:val="none"/>
          <w:lang w:val="pt-BR"/>
        </w:rPr>
        <w:t>Aprovação de Projetos</w:t>
      </w:r>
      <w:r>
        <w:rPr>
          <w:rFonts w:ascii="Arial" w:hAnsi="Arial" w:cs="Arial"/>
          <w:sz w:val="24"/>
          <w:szCs w:val="24"/>
          <w:highlight w:val="none"/>
        </w:rPr>
        <w:t xml:space="preserve">, o Eng. Civil </w:t>
      </w:r>
      <w:r>
        <w:rPr>
          <w:rFonts w:hint="default" w:ascii="Arial" w:hAnsi="Arial" w:cs="Arial"/>
          <w:sz w:val="24"/>
          <w:szCs w:val="24"/>
          <w:highlight w:val="none"/>
          <w:lang w:val="pt-BR"/>
        </w:rPr>
        <w:t>Guilherme Faria Moreira</w:t>
      </w:r>
      <w:r>
        <w:rPr>
          <w:rFonts w:ascii="Arial" w:hAnsi="Arial" w:cs="Arial"/>
          <w:sz w:val="24"/>
          <w:szCs w:val="24"/>
          <w:highlight w:val="none"/>
        </w:rPr>
        <w:t xml:space="preserve"> ser</w:t>
      </w:r>
      <w:r>
        <w:rPr>
          <w:rFonts w:ascii="Arial" w:hAnsi="Arial" w:cs="Arial"/>
          <w:sz w:val="24"/>
          <w:szCs w:val="24"/>
        </w:rPr>
        <w:t>á o representante da municipalidade para o gerenciamento, acompanhamento e fiscalização da obra, por designação da secretaria de Obras</w:t>
      </w:r>
      <w:r>
        <w:rPr>
          <w:rFonts w:ascii="Arial" w:hAnsi="Arial" w:cs="Arial"/>
          <w:sz w:val="24"/>
          <w:szCs w:val="24"/>
          <w:lang w:val="pt-BR"/>
        </w:rPr>
        <w:t xml:space="preserve"> e Infraestrutura.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FORMA DE PAGAMENTO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As medições serão feitas de acordo com o seguinte procedimento: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numPr>
          <w:ilvl w:val="0"/>
          <w:numId w:val="4"/>
        </w:num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Apresentação da medição pela contratada à Secretaria Municipal de Obras e Infraestrutura, devidamente protocolada, contendo: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1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.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Boletim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da medição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 solicitada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2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Relatório fotográfico;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3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Cronograma físico financeiro atualizado;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4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. Diário de obras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( do período valido da medição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);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5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Relatórios de ensaios do controle geotécnico quando for o caso;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b) Caso falte algum dos documentos citados no item anterior na entrega da medição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esta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será devolvida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à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Contratada para seus devidos acertos e complementações;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O prazo para a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liquidação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da medição dependerá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da entrega de toda a documentação comprobatório de regularidade fiscal e trabalhista por parte da empresa;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A Municipalidade após ateste da medição e de toda a documentação comprobatório de regularidade fiscal e trabalhista tem até 30 dias para realizar a devida liquidação da Nota Fiscal, salvo em caso de calamidade pública, grave perturbação da ordem interna ou guerra.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Para a Primeira medição será exigida a apresentação alem das documentações comprobatórios de regularidade fiscal da empresa, a apresentação do CNO - Cadastro Nacional de Obras, referente ao empreendimento contratado e da ART/RRT de execução do empreendimento do responsável técnico da empresa.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MODALIDADE DE AQUISIÇÃO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 Municipalidade decidiu por questões operacionais e técnicas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 que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o regime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de empreitada 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por preço unitário é o que melhor atende aos seus interesses.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Será considerada mais vantajosa a proposta da empresa que oferecer o menor preço. 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As propostas terão validade de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60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(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sessenta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) dias, contados da data de abertura da sessão pública estabelecida no Edital.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Os preços unitários informados pela Municipalidade são considerados como máximos, devendo portanto a planilha orçamentaria da empresa possuir valores inferiores ou igua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is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ao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orçado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pela Municipalidade.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DAS SANÇÕES ADMINISTRATIVAS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>A serem estabelecidas</w:t>
      </w:r>
      <w:r>
        <w:rPr>
          <w:rFonts w:ascii="Arial" w:hAnsi="Arial" w:cs="Arial"/>
          <w:sz w:val="24"/>
          <w:szCs w:val="24"/>
          <w:lang w:val="pt-BR"/>
        </w:rPr>
        <w:t xml:space="preserve">  conforme contrato padrão da prefeitura.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 CRIT</w:t>
      </w:r>
      <w:r>
        <w:rPr>
          <w:rFonts w:ascii="Arial" w:hAnsi="Arial" w:cs="Arial"/>
          <w:b/>
          <w:sz w:val="24"/>
          <w:szCs w:val="24"/>
          <w:lang w:val="pt-BR"/>
        </w:rPr>
        <w:t>É</w:t>
      </w:r>
      <w:r>
        <w:rPr>
          <w:rFonts w:ascii="Arial" w:hAnsi="Arial" w:cs="Arial"/>
          <w:b/>
          <w:sz w:val="24"/>
          <w:szCs w:val="24"/>
        </w:rPr>
        <w:t>RIOS DE ACEITABILIDADE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As obras deverão ser executadas como definido nos projetos e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ao fim dos serviços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serão atestadas através do comprovante de funcionalidade emitido pelo Fiscal de Obra (termo de recebimento provisóri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o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). Prazo de garantia de cinco anos, conforme estabelecido na Lei 8.666.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RESPONSÁVEL PELA FISCALIZAÇÃO DO CONTRATO</w:t>
      </w:r>
    </w:p>
    <w:p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highlight w:val="none"/>
        </w:rPr>
      </w:pPr>
    </w:p>
    <w:p>
      <w:pPr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highlight w:val="none"/>
        </w:rPr>
      </w:pP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Fica indicado o 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servidor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Edeilson Soares da Silva</w:t>
      </w:r>
      <w:r>
        <w:rPr>
          <w:rFonts w:ascii="Arial" w:hAnsi="Arial" w:cs="Arial"/>
          <w:color w:val="auto"/>
          <w:sz w:val="24"/>
          <w:szCs w:val="24"/>
          <w:highlight w:val="none"/>
        </w:rPr>
        <w:t>,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Gerente de Fiscalização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>,</w:t>
      </w: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 como fiscal do contrato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e como fiscal substituto fica indicado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a Engª. Micaela Buss Surlo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>. T</w:t>
      </w:r>
      <w:r>
        <w:rPr>
          <w:rFonts w:ascii="Arial" w:hAnsi="Arial" w:cs="Arial"/>
          <w:color w:val="auto"/>
          <w:sz w:val="24"/>
          <w:szCs w:val="24"/>
          <w:highlight w:val="none"/>
        </w:rPr>
        <w:t>elefone: (27) 3263-4809 e e-mail: obras@pmsmj.es.gov.br.</w:t>
      </w:r>
    </w:p>
    <w:p>
      <w:pPr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highlight w:val="none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b/>
          <w:sz w:val="24"/>
          <w:szCs w:val="24"/>
          <w:highlight w:val="none"/>
        </w:rPr>
      </w:pPr>
      <w:r>
        <w:rPr>
          <w:rFonts w:ascii="Arial" w:hAnsi="Arial" w:cs="Arial"/>
          <w:b/>
          <w:sz w:val="24"/>
          <w:szCs w:val="24"/>
          <w:highlight w:val="none"/>
        </w:rPr>
        <w:t>RESPONSÁVEL PEL</w:t>
      </w:r>
      <w:r>
        <w:rPr>
          <w:rFonts w:hint="default" w:ascii="Arial" w:hAnsi="Arial" w:cs="Arial"/>
          <w:b/>
          <w:sz w:val="24"/>
          <w:szCs w:val="24"/>
          <w:highlight w:val="none"/>
          <w:lang w:val="pt-BR"/>
        </w:rPr>
        <w:t>A ELABORAÇÃO DO TERMO DE REFERENCIA</w:t>
      </w:r>
    </w:p>
    <w:p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highlight w:val="none"/>
        </w:rPr>
      </w:pPr>
    </w:p>
    <w:p>
      <w:pPr>
        <w:spacing w:after="0" w:line="360" w:lineRule="auto"/>
        <w:jc w:val="both"/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</w:pP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O</w:t>
      </w: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 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servidor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Edeilson Soares da Silva</w:t>
      </w:r>
      <w:r>
        <w:rPr>
          <w:rFonts w:ascii="Arial" w:hAnsi="Arial" w:cs="Arial"/>
          <w:color w:val="auto"/>
          <w:sz w:val="24"/>
          <w:szCs w:val="24"/>
          <w:highlight w:val="none"/>
        </w:rPr>
        <w:t>,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Engenheiro Civil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, MATRICULA: 055010.</w:t>
      </w:r>
    </w:p>
    <w:p>
      <w:pPr>
        <w:spacing w:after="0" w:line="36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360" w:lineRule="auto"/>
        <w:ind w:firstLine="2880" w:firstLineChars="1200"/>
        <w:jc w:val="both"/>
        <w:rPr>
          <w:rFonts w:ascii="Arial" w:hAnsi="Arial" w:eastAsia="SimSun" w:cs="Arial"/>
          <w:sz w:val="24"/>
          <w:szCs w:val="24"/>
          <w:lang w:eastAsia="pt-BR"/>
        </w:rPr>
      </w:pPr>
      <w:r>
        <w:rPr>
          <w:rFonts w:ascii="Arial" w:hAnsi="Arial" w:eastAsia="SimSun" w:cs="Arial"/>
          <w:sz w:val="24"/>
          <w:szCs w:val="24"/>
          <w:lang w:eastAsia="pt-BR"/>
        </w:rPr>
        <w:t xml:space="preserve">Santa Maria de Jetibá/ES, 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 xml:space="preserve">15 </w:t>
      </w:r>
      <w:r>
        <w:rPr>
          <w:rFonts w:ascii="Arial" w:hAnsi="Arial" w:eastAsia="SimSun" w:cs="Arial"/>
          <w:sz w:val="24"/>
          <w:szCs w:val="24"/>
          <w:lang w:eastAsia="pt-BR"/>
        </w:rPr>
        <w:t xml:space="preserve">de 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>Junho</w:t>
      </w:r>
      <w:r>
        <w:rPr>
          <w:rFonts w:ascii="Arial" w:hAnsi="Arial" w:eastAsia="SimSun" w:cs="Arial"/>
          <w:sz w:val="24"/>
          <w:szCs w:val="24"/>
          <w:lang w:val="en-US" w:eastAsia="pt-BR"/>
        </w:rPr>
        <w:t xml:space="preserve"> </w:t>
      </w:r>
      <w:r>
        <w:rPr>
          <w:rFonts w:ascii="Arial" w:hAnsi="Arial" w:eastAsia="SimSun" w:cs="Arial"/>
          <w:sz w:val="24"/>
          <w:szCs w:val="24"/>
          <w:lang w:eastAsia="pt-BR"/>
        </w:rPr>
        <w:t>de 20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>22</w:t>
      </w:r>
      <w:r>
        <w:rPr>
          <w:rFonts w:ascii="Arial" w:hAnsi="Arial" w:eastAsia="SimSun" w:cs="Arial"/>
          <w:sz w:val="24"/>
          <w:szCs w:val="24"/>
          <w:lang w:eastAsia="pt-BR"/>
        </w:rPr>
        <w:t>.</w:t>
      </w:r>
    </w:p>
    <w:p>
      <w:pPr>
        <w:spacing w:after="0" w:line="360" w:lineRule="auto"/>
        <w:ind w:firstLine="2880" w:firstLineChars="1200"/>
        <w:jc w:val="both"/>
        <w:rPr>
          <w:rFonts w:ascii="Arial" w:hAnsi="Arial" w:eastAsia="SimSun" w:cs="Arial"/>
          <w:sz w:val="24"/>
          <w:szCs w:val="24"/>
          <w:lang w:eastAsia="pt-BR"/>
        </w:rPr>
      </w:pPr>
      <w:r>
        <w:rPr>
          <w:rFonts w:ascii="Arial" w:hAnsi="Arial" w:eastAsia="SimSun" w:cs="Arial"/>
          <w:sz w:val="24"/>
          <w:szCs w:val="24"/>
          <w:lang w:eastAsia="pt-BR"/>
        </w:rPr>
        <w:br w:type="textWrapping"/>
      </w:r>
      <w:r>
        <w:rPr>
          <w:rFonts w:ascii="Arial" w:hAnsi="Arial" w:eastAsia="SimSun" w:cs="Arial"/>
          <w:sz w:val="24"/>
          <w:szCs w:val="24"/>
          <w:lang w:eastAsia="pt-BR"/>
        </w:rPr>
        <w:br w:type="textWrapping"/>
      </w:r>
    </w:p>
    <w:tbl>
      <w:tblPr>
        <w:tblStyle w:val="9"/>
        <w:tblpPr w:leftFromText="180" w:rightFromText="180" w:vertAnchor="text" w:horzAnchor="page" w:tblpX="1582" w:tblpY="281"/>
        <w:tblOverlap w:val="never"/>
        <w:tblW w:w="87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  <w:gridCol w:w="43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highlight w:val="none"/>
                <w:lang w:val="pt-BR"/>
              </w:rPr>
              <w:t>Micaela Buss Surlo</w:t>
            </w: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  <w:t>FISCAL DE CONTRATO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  <w:t>SUBSTITUTO</w:t>
            </w:r>
          </w:p>
        </w:tc>
        <w:tc>
          <w:tcPr>
            <w:tcW w:w="4358" w:type="dxa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  <w:t>Edeilson Soares da Silva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  <w:t>FISCAL DE CONTRATO</w:t>
            </w:r>
          </w:p>
        </w:tc>
      </w:tr>
    </w:tbl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pStyle w:val="10"/>
        <w:spacing w:after="0" w:line="240" w:lineRule="auto"/>
        <w:ind w:left="0" w:leftChars="0" w:firstLine="0" w:firstLineChars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</w:t>
      </w:r>
    </w:p>
    <w:p>
      <w:pPr>
        <w:spacing w:after="0" w:line="240" w:lineRule="auto"/>
        <w:jc w:val="center"/>
        <w:rPr>
          <w:rFonts w:ascii="Arial" w:hAnsi="Arial" w:eastAsia="SimSun" w:cs="Arial"/>
          <w:sz w:val="24"/>
          <w:szCs w:val="24"/>
          <w:lang w:val="en-US" w:eastAsia="pt-BR"/>
        </w:rPr>
      </w:pPr>
      <w:r>
        <w:rPr>
          <w:rFonts w:ascii="Arial" w:hAnsi="Arial" w:eastAsia="SimSun" w:cs="Arial"/>
          <w:sz w:val="24"/>
          <w:szCs w:val="24"/>
          <w:lang w:val="en-US" w:eastAsia="pt-BR"/>
        </w:rPr>
        <w:t>Paulo Emílio Arnsholz</w:t>
      </w:r>
    </w:p>
    <w:p>
      <w:pPr>
        <w:spacing w:after="0" w:line="240" w:lineRule="auto"/>
        <w:jc w:val="center"/>
        <w:rPr>
          <w:rFonts w:ascii="Arial" w:hAnsi="Arial" w:eastAsia="SimSun" w:cs="Arial"/>
          <w:sz w:val="24"/>
          <w:szCs w:val="24"/>
          <w:lang w:val="en-US" w:eastAsia="pt-BR"/>
        </w:rPr>
      </w:pPr>
      <w:r>
        <w:rPr>
          <w:rFonts w:ascii="Arial" w:hAnsi="Arial" w:eastAsia="SimSun" w:cs="Arial"/>
          <w:sz w:val="24"/>
          <w:szCs w:val="24"/>
          <w:lang w:eastAsia="pt-BR"/>
        </w:rPr>
        <w:t xml:space="preserve">Secretário Municipal de Obras </w:t>
      </w:r>
      <w:r>
        <w:rPr>
          <w:rFonts w:ascii="Arial" w:hAnsi="Arial" w:eastAsia="SimSun" w:cs="Arial"/>
          <w:sz w:val="24"/>
          <w:szCs w:val="24"/>
          <w:lang w:val="en-US" w:eastAsia="pt-BR"/>
        </w:rPr>
        <w:t>e Infraestrutura</w:t>
      </w: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Serif-Bold">
    <w:altName w:val="AMGD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Old English Text MT">
    <w:panose1 w:val="03040902040508030806"/>
    <w:charset w:val="00"/>
    <w:family w:val="script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Caixa de Texto 3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0lY7tAA&#10;AAAFAQAADwAAAAAAAAABACAAAAAiAAAAZHJzL2Rvd25yZXYueG1sUEsBAhQAFAAAAAgAh07iQGVy&#10;O6MnAgAAZgQAAA4AAAAAAAAAAQAgAAAAHwEAAGRycy9lMm9Eb2MueG1sUEsFBgAAAAAGAAYAWQEA&#10;ALg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Old English Text MT" w:hAnsi="Old English Text MT"/>
        <w:b/>
        <w:sz w:val="36"/>
        <w:szCs w:val="36"/>
      </w:rPr>
    </w:pPr>
    <w:r>
      <w:rPr>
        <w:rFonts w:ascii="Old English Text MT" w:hAnsi="Old English Text MT"/>
        <w:b/>
        <w:sz w:val="36"/>
        <w:szCs w:val="36"/>
      </w:rPr>
      <w:t>Prefeitura Municipal de Santa Maria de Jetibá</w:t>
    </w:r>
  </w:p>
  <w:p>
    <w:pPr>
      <w:pStyle w:val="7"/>
      <w:jc w:val="center"/>
      <w:rPr>
        <w:rFonts w:ascii="Old English Text MT" w:hAnsi="Old English Text MT"/>
        <w:b/>
        <w:sz w:val="36"/>
        <w:szCs w:val="36"/>
      </w:rPr>
    </w:pPr>
    <w:r>
      <w:rPr>
        <w:rFonts w:hint="default" w:ascii="Old English Text MT" w:hAnsi="Old English Text MT" w:cs="Old English Text MT"/>
        <w:b/>
        <w:bCs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-293370</wp:posOffset>
          </wp:positionH>
          <wp:positionV relativeFrom="paragraph">
            <wp:posOffset>-434975</wp:posOffset>
          </wp:positionV>
          <wp:extent cx="734695" cy="977900"/>
          <wp:effectExtent l="0" t="0" r="8255" b="12700"/>
          <wp:wrapSquare wrapText="bothSides"/>
          <wp:docPr id="2" name="Imagem 1026" descr="brasao du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26" descr="brasao dud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695" cy="97790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ascii="Old English Text MT" w:hAnsi="Old English Text MT"/>
        <w:b/>
        <w:sz w:val="36"/>
        <w:szCs w:val="36"/>
      </w:rPr>
      <w:t>Estado do Espírito Santo</w:t>
    </w:r>
  </w:p>
  <w:p>
    <w:pPr>
      <w:pStyle w:val="7"/>
    </w:pP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112E73"/>
    <w:multiLevelType w:val="singleLevel"/>
    <w:tmpl w:val="E9112E73"/>
    <w:lvl w:ilvl="0" w:tentative="0">
      <w:start w:val="1"/>
      <w:numFmt w:val="lowerLetter"/>
      <w:suff w:val="space"/>
      <w:lvlText w:val="%1)"/>
      <w:lvlJc w:val="left"/>
    </w:lvl>
  </w:abstractNum>
  <w:abstractNum w:abstractNumId="1">
    <w:nsid w:val="52D21A59"/>
    <w:multiLevelType w:val="multilevel"/>
    <w:tmpl w:val="52D21A59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47C498"/>
    <w:multiLevelType w:val="singleLevel"/>
    <w:tmpl w:val="5947C49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7426B8CF"/>
    <w:multiLevelType w:val="singleLevel"/>
    <w:tmpl w:val="7426B8CF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F5"/>
    <w:rsid w:val="00011D37"/>
    <w:rsid w:val="00074FF5"/>
    <w:rsid w:val="0007677C"/>
    <w:rsid w:val="000933F9"/>
    <w:rsid w:val="001018B0"/>
    <w:rsid w:val="00233B19"/>
    <w:rsid w:val="002348CB"/>
    <w:rsid w:val="002A1C04"/>
    <w:rsid w:val="00330C85"/>
    <w:rsid w:val="00344D50"/>
    <w:rsid w:val="0035634E"/>
    <w:rsid w:val="00370725"/>
    <w:rsid w:val="00403264"/>
    <w:rsid w:val="00427957"/>
    <w:rsid w:val="00452F56"/>
    <w:rsid w:val="004968BF"/>
    <w:rsid w:val="004C6E70"/>
    <w:rsid w:val="004D1286"/>
    <w:rsid w:val="004E60A7"/>
    <w:rsid w:val="00505E74"/>
    <w:rsid w:val="00535B79"/>
    <w:rsid w:val="00562FB9"/>
    <w:rsid w:val="00574330"/>
    <w:rsid w:val="0073505B"/>
    <w:rsid w:val="007848AB"/>
    <w:rsid w:val="00802B03"/>
    <w:rsid w:val="00884166"/>
    <w:rsid w:val="00884864"/>
    <w:rsid w:val="00984E5F"/>
    <w:rsid w:val="009F0E49"/>
    <w:rsid w:val="00A03A96"/>
    <w:rsid w:val="00A301D6"/>
    <w:rsid w:val="00A3289B"/>
    <w:rsid w:val="00A50181"/>
    <w:rsid w:val="00A949E4"/>
    <w:rsid w:val="00B244C3"/>
    <w:rsid w:val="00B702A2"/>
    <w:rsid w:val="00BB09AE"/>
    <w:rsid w:val="00BE2AFE"/>
    <w:rsid w:val="00BE6F41"/>
    <w:rsid w:val="00BF61F4"/>
    <w:rsid w:val="00C43C51"/>
    <w:rsid w:val="00C52C2B"/>
    <w:rsid w:val="00D15AD7"/>
    <w:rsid w:val="00D91B08"/>
    <w:rsid w:val="00DA695B"/>
    <w:rsid w:val="00E31870"/>
    <w:rsid w:val="00E606AA"/>
    <w:rsid w:val="00E77B2D"/>
    <w:rsid w:val="00EF714C"/>
    <w:rsid w:val="00F57A4B"/>
    <w:rsid w:val="00FE108D"/>
    <w:rsid w:val="02D81F30"/>
    <w:rsid w:val="03030CF9"/>
    <w:rsid w:val="043C1A87"/>
    <w:rsid w:val="044D14AF"/>
    <w:rsid w:val="063A3C14"/>
    <w:rsid w:val="073158D1"/>
    <w:rsid w:val="08712BB3"/>
    <w:rsid w:val="08BC0220"/>
    <w:rsid w:val="09CE7E7B"/>
    <w:rsid w:val="0A3922AD"/>
    <w:rsid w:val="0B25305C"/>
    <w:rsid w:val="0B6C3C06"/>
    <w:rsid w:val="0C3B4E67"/>
    <w:rsid w:val="0E26719B"/>
    <w:rsid w:val="12277BE5"/>
    <w:rsid w:val="1494499A"/>
    <w:rsid w:val="15322433"/>
    <w:rsid w:val="1549642C"/>
    <w:rsid w:val="166D4CA3"/>
    <w:rsid w:val="17FE5812"/>
    <w:rsid w:val="191B185D"/>
    <w:rsid w:val="1A7E2677"/>
    <w:rsid w:val="1B0732C8"/>
    <w:rsid w:val="1CEE4A04"/>
    <w:rsid w:val="1E183C03"/>
    <w:rsid w:val="1E4550E8"/>
    <w:rsid w:val="1E570BB1"/>
    <w:rsid w:val="211B59A4"/>
    <w:rsid w:val="21273EB2"/>
    <w:rsid w:val="2283223E"/>
    <w:rsid w:val="24F56F1D"/>
    <w:rsid w:val="277C2B81"/>
    <w:rsid w:val="2AC97815"/>
    <w:rsid w:val="2EEC52E4"/>
    <w:rsid w:val="309000FC"/>
    <w:rsid w:val="338F3458"/>
    <w:rsid w:val="33FA5D62"/>
    <w:rsid w:val="34442B85"/>
    <w:rsid w:val="350548AA"/>
    <w:rsid w:val="37920628"/>
    <w:rsid w:val="37D534A3"/>
    <w:rsid w:val="389270C4"/>
    <w:rsid w:val="391854AA"/>
    <w:rsid w:val="39C844F3"/>
    <w:rsid w:val="3A891D0F"/>
    <w:rsid w:val="3C4C6285"/>
    <w:rsid w:val="3DBA6254"/>
    <w:rsid w:val="3E2C36B1"/>
    <w:rsid w:val="425B638A"/>
    <w:rsid w:val="438E1DA6"/>
    <w:rsid w:val="43D65937"/>
    <w:rsid w:val="448D1765"/>
    <w:rsid w:val="469C57B8"/>
    <w:rsid w:val="47E47368"/>
    <w:rsid w:val="488B20B4"/>
    <w:rsid w:val="49976737"/>
    <w:rsid w:val="4C237136"/>
    <w:rsid w:val="4DDE3FCE"/>
    <w:rsid w:val="4E297823"/>
    <w:rsid w:val="4E744E66"/>
    <w:rsid w:val="52B04E4B"/>
    <w:rsid w:val="53212169"/>
    <w:rsid w:val="53703DE4"/>
    <w:rsid w:val="53E21FCA"/>
    <w:rsid w:val="56405C6A"/>
    <w:rsid w:val="57652639"/>
    <w:rsid w:val="57C06767"/>
    <w:rsid w:val="5AC5569D"/>
    <w:rsid w:val="5B355CA0"/>
    <w:rsid w:val="5CFD734D"/>
    <w:rsid w:val="5DF24EE4"/>
    <w:rsid w:val="601B4D29"/>
    <w:rsid w:val="60595D61"/>
    <w:rsid w:val="608B3DD8"/>
    <w:rsid w:val="62F451D7"/>
    <w:rsid w:val="63592CD0"/>
    <w:rsid w:val="64214592"/>
    <w:rsid w:val="64532103"/>
    <w:rsid w:val="646041DA"/>
    <w:rsid w:val="65943B04"/>
    <w:rsid w:val="67E27C8F"/>
    <w:rsid w:val="682D1ECF"/>
    <w:rsid w:val="698F405A"/>
    <w:rsid w:val="6BBE10FB"/>
    <w:rsid w:val="6DFF4199"/>
    <w:rsid w:val="70E80505"/>
    <w:rsid w:val="713031B0"/>
    <w:rsid w:val="726629A5"/>
    <w:rsid w:val="7491642B"/>
    <w:rsid w:val="76721F54"/>
    <w:rsid w:val="771928F9"/>
    <w:rsid w:val="78BF105B"/>
    <w:rsid w:val="7C436AB4"/>
    <w:rsid w:val="7D457A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5">
    <w:name w:val="Emphasis"/>
    <w:basedOn w:val="2"/>
    <w:qFormat/>
    <w:uiPriority w:val="20"/>
    <w:rPr>
      <w:i/>
      <w:iCs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header"/>
    <w:basedOn w:val="1"/>
    <w:link w:val="12"/>
    <w:unhideWhenUsed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table" w:styleId="9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List Paragraph"/>
    <w:basedOn w:val="1"/>
    <w:qFormat/>
    <w:uiPriority w:val="34"/>
    <w:pPr>
      <w:ind w:left="720"/>
      <w:contextualSpacing/>
    </w:pPr>
  </w:style>
  <w:style w:type="paragraph" w:customStyle="1" w:styleId="11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character" w:customStyle="1" w:styleId="12">
    <w:name w:val="Cabeçalho Char"/>
    <w:basedOn w:val="2"/>
    <w:link w:val="7"/>
    <w:qFormat/>
    <w:uiPriority w:val="99"/>
  </w:style>
  <w:style w:type="character" w:customStyle="1" w:styleId="13">
    <w:name w:val="Rodapé Char"/>
    <w:basedOn w:val="2"/>
    <w:link w:val="6"/>
    <w:qFormat/>
    <w:uiPriority w:val="99"/>
  </w:style>
  <w:style w:type="character" w:customStyle="1" w:styleId="14">
    <w:name w:val="apple-converted-space"/>
    <w:basedOn w:val="2"/>
    <w:qFormat/>
    <w:uiPriority w:val="0"/>
  </w:style>
  <w:style w:type="character" w:customStyle="1" w:styleId="15">
    <w:name w:val="Texto de balão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6">
    <w:name w:val="Table Paragraph"/>
    <w:basedOn w:val="1"/>
    <w:qFormat/>
    <w:uiPriority w:val="1"/>
    <w:pPr>
      <w:spacing w:before="18"/>
      <w:ind w:left="56"/>
    </w:pPr>
    <w:rPr>
      <w:rFonts w:ascii="Tahoma" w:hAnsi="Tahoma" w:eastAsia="Tahoma" w:cs="Tahoma"/>
      <w:lang w:val="pt-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751</Words>
  <Characters>4060</Characters>
  <Lines>33</Lines>
  <Paragraphs>9</Paragraphs>
  <TotalTime>3</TotalTime>
  <ScaleCrop>false</ScaleCrop>
  <LinksUpToDate>false</LinksUpToDate>
  <CharactersWithSpaces>4802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2016-07-15T13:19:00Z</dcterms:created>
  <dc:creator>Rosilania Acher</dc:creator>
  <cp:lastModifiedBy>guilherme.moreira</cp:lastModifiedBy>
  <cp:lastPrinted>2022-06-15T18:21:21Z</cp:lastPrinted>
  <dcterms:modified xsi:type="dcterms:W3CDTF">2022-06-15T18:23:36Z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B423E7CFEF8641429430149015273B6B</vt:lpwstr>
  </property>
</Properties>
</file>